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AUSTRALIA VISA ADMINISTRATIVE SUPPORT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Australia / Visa Administrative Support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visa or immigration-related administrative process</w:t>
      </w:r>
    </w:p>
    <w:p>
      <w:pPr>
        <w:numPr>
          <w:ilvl w:val="0"/>
          <w:numId w:val="1002"/>
        </w:numPr>
      </w:pPr>
      <w:r>
        <w:t xml:space="preserve">concerning Australia.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Australia. It is not a</w:t>
      </w:r>
    </w:p>
    <w:p>
      <w:pPr>
        <w:numPr>
          <w:ilvl w:val="0"/>
          <w:numId w:val="1002"/>
        </w:numPr>
      </w:pPr>
      <w:r>
        <w:t xml:space="preserve">job, admission, sponsorship, permit, visa, or entry guarantee. Friendship Immigration provides general information and</w:t>
      </w:r>
    </w:p>
    <w:p>
      <w:pPr>
        <w:numPr>
          <w:ilvl w:val="0"/>
          <w:numId w:val="1002"/>
        </w:numPr>
      </w:pPr>
      <w:r>
        <w:t xml:space="preserve">administrative document-organisation support only. Australian immigration assistance, personalized migration advice,</w:t>
      </w:r>
    </w:p>
    <w:p>
      <w:pPr>
        <w:numPr>
          <w:ilvl w:val="0"/>
          <w:numId w:val="1002"/>
        </w:numPr>
      </w:pPr>
      <w:r>
        <w:t xml:space="preserve">or representation is not included unless delivered through a separately identified and verified registered migration</w:t>
      </w:r>
    </w:p>
    <w:p>
      <w:pPr>
        <w:numPr>
          <w:ilvl w:val="0"/>
          <w:numId w:val="1002"/>
        </w:numPr>
      </w:pPr>
      <w:r>
        <w:t xml:space="preserve">agent, Australian legal practitioner, or exempt person.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Australia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Australia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education provider, host, translator, insurer, courier, or</w:t>
      </w:r>
    </w:p>
    <w:p>
      <w:pPr>
        <w:pStyle w:val="Compact"/>
        <w:numPr>
          <w:ilvl w:val="0"/>
          <w:numId w:val="1003"/>
        </w:numPr>
      </w:pPr>
      <w:r>
        <w:t xml:space="preserve">other relevant service 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visa-category,</w:t>
      </w:r>
    </w:p>
    <w:p>
      <w:pPr>
        <w:pStyle w:val="Compact"/>
        <w:numPr>
          <w:ilvl w:val="0"/>
          <w:numId w:val="1003"/>
        </w:numPr>
      </w:pPr>
      <w:r>
        <w:t xml:space="preserve">supporting-document,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Australian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Australian employers, education providers, the Department of Home</w:t>
      </w:r>
    </w:p>
    <w:p>
      <w:pPr>
        <w:numPr>
          <w:ilvl w:val="0"/>
          <w:numId w:val="1004"/>
        </w:numPr>
      </w:pPr>
      <w:r>
        <w:t xml:space="preserve">Affairs, diplomatic 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Australia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Australian,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cf259a091f9579dd8a3702aaa05fd6659d5d83f"/>
    <w:p>
      <w:pPr>
        <w:pStyle w:val="Heading2"/>
      </w:pPr>
      <w:r>
        <w:t xml:space="preserve">4. CASE DETAILS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The Client must independently verify every offer, sponsor, employer, education provider, host, fee, refund term,</w:t>
      </w:r>
    </w:p>
    <w:p>
      <w:pPr>
        <w:pStyle w:val="Compact"/>
        <w:numPr>
          <w:ilvl w:val="0"/>
          <w:numId w:val="1006"/>
        </w:numPr>
      </w:pPr>
      <w:r>
        <w:t xml:space="preserve">timeline, and other material fact before commitment. Information or documentation from a third party is not a</w:t>
      </w:r>
    </w:p>
    <w:p>
      <w:pPr>
        <w:pStyle w:val="Compact"/>
        <w:numPr>
          <w:ilvl w:val="0"/>
          <w:numId w:val="1006"/>
        </w:numPr>
      </w:pPr>
      <w:r>
        <w:t xml:space="preserve">guarantee of eligibility, approval, admission, employment, or entry.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Australian employers, education providers,</w:t>
      </w:r>
    </w:p>
    <w:p>
      <w:pPr>
        <w:numPr>
          <w:ilvl w:val="0"/>
          <w:numId w:val="1008"/>
        </w:numPr>
      </w:pPr>
      <w:r>
        <w:t xml:space="preserve">the Department of Home Affairs, diplomatic missions, or border authorities. Requirements may change without notice.</w:t>
      </w:r>
    </w:p>
    <w:p>
      <w:pPr>
        <w:numPr>
          <w:ilvl w:val="0"/>
          <w:numId w:val="1008"/>
        </w:numPr>
      </w:pPr>
      <w:r>
        <w:t xml:space="preserve">The Consultant shall use reasonable professional efforts within the agreed administrative scope but does not guarantee</w:t>
      </w:r>
    </w:p>
    <w:p>
      <w:pPr>
        <w:numPr>
          <w:ilvl w:val="0"/>
          <w:numId w:val="1008"/>
        </w:numPr>
      </w:pPr>
      <w:r>
        <w:t xml:space="preserve">any timeline or 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category / sponsor ________________________________________</w:t>
      </w:r>
    </w:p>
    <w:p>
      <w:pPr>
        <w:numPr>
          <w:ilvl w:val="0"/>
          <w:numId w:val="1019"/>
        </w:numPr>
      </w:pPr>
      <w:r>
        <w:t xml:space="preserve">Purpose / destination ________________________________________</w:t>
      </w:r>
    </w:p>
    <w:p>
      <w:pPr>
        <w:numPr>
          <w:ilvl w:val="0"/>
          <w:numId w:val="1019"/>
        </w:numPr>
      </w:pPr>
      <w:r>
        <w:t xml:space="preserve">Provider / employer / host ________________________________________</w:t>
      </w:r>
    </w:p>
    <w:p>
      <w:pPr>
        <w:numPr>
          <w:ilvl w:val="0"/>
          <w:numId w:val="1019"/>
        </w:numPr>
      </w:pPr>
      <w:r>
        <w:t xml:space="preserve">Proposed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Document support: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case/document ₹ ______________ ______________ ______________</w:t>
      </w:r>
    </w:p>
    <w:p>
      <w:pPr>
        <w:numPr>
          <w:ilvl w:val="0"/>
          <w:numId w:val="1020"/>
        </w:numPr>
      </w:pPr>
      <w:r>
        <w:t xml:space="preserve">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decision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2026-07-25T03:40:08Z</dcterms:created>
  <dcterms:modified xsi:type="dcterms:W3CDTF">2026-07-25T03:40:08Z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