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OMAN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Oman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Oman.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Oman.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does not guarantee an employer, labour</w:t>
      </w:r>
    </w:p>
    <w:p>
      <w:pPr>
        <w:numPr>
          <w:ilvl w:val="0"/>
          <w:numId w:val="1002"/>
        </w:numPr>
      </w:pPr>
      <w:r>
        <w:t xml:space="preserve">clearance, work visa, medical result, residence card, salary, accommodation, or entry into Oman. Final decisions</w:t>
      </w:r>
    </w:p>
    <w:p>
      <w:pPr>
        <w:numPr>
          <w:ilvl w:val="0"/>
          <w:numId w:val="1002"/>
        </w:numPr>
      </w:pPr>
      <w:r>
        <w:t xml:space="preserve">remain with employers and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Oman process. The exact service begins only after</w:t>
      </w:r>
    </w:p>
    <w:p>
      <w:pPr>
        <w:pStyle w:val="Compact"/>
        <w:numPr>
          <w:ilvl w:val="0"/>
          <w:numId w:val="1003"/>
        </w:numPr>
      </w:pPr>
      <w:r>
        <w:t xml:space="preserve">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Oman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Omani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Omani employers, labour and immigration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Oman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Omani,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Omani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2026-07-25T03:40:07Z</dcterms:created>
  <dcterms:modified xsi:type="dcterms:W3CDTF">2026-07-25T03:40:07Z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